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ANEXA Nr. 3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val="en-US"/>
        </w:rPr>
        <w:t>la normele metodologice</w:t>
        <w:br/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    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en-US"/>
        </w:rPr>
        <w:t>(anexă înlocuită prin art. unic pct. 26 din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 </w:t>
      </w:r>
      <w:hyperlink r:id="rId2">
        <w:r>
          <w:rPr>
            <w:rFonts w:eastAsia="Times New Roman" w:cs="Times New Roman"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H.G. nr. 478/2016</w:t>
        </w:r>
      </w:hyperlink>
      <w:r>
        <w:rPr>
          <w:rFonts w:eastAsia="Times New Roman" w:cs="Times New Roman" w:ascii="Times New Roman" w:hAnsi="Times New Roman"/>
          <w:i/>
          <w:iCs/>
          <w:sz w:val="24"/>
          <w:szCs w:val="24"/>
          <w:lang w:val="en-US"/>
        </w:rPr>
        <w:t>, în vigoare de la 8 iulie 2016)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Model - Raport periodic de activitate</w:t>
      </w:r>
    </w:p>
    <w:tbl>
      <w:tblPr>
        <w:tblW w:w="5000" w:type="pct"/>
        <w:jc w:val="left"/>
        <w:tblInd w:w="0" w:type="dxa"/>
        <w:tblCellMar>
          <w:top w:w="15" w:type="dxa"/>
          <w:left w:w="22" w:type="dxa"/>
          <w:bottom w:w="15" w:type="dxa"/>
          <w:right w:w="22" w:type="dxa"/>
        </w:tblCellMar>
        <w:tblLook w:val="04a0"/>
      </w:tblPr>
      <w:tblGrid>
        <w:gridCol w:w="2700"/>
        <w:gridCol w:w="3866"/>
        <w:gridCol w:w="2794"/>
      </w:tblGrid>
      <w:tr>
        <w:trPr/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Categorie de informaţii </w:t>
            </w:r>
          </w:p>
        </w:tc>
        <w:tc>
          <w:tcPr>
            <w:tcW w:w="3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Detalii </w:t>
            </w:r>
          </w:p>
        </w:tc>
        <w:tc>
          <w:tcPr>
            <w:tcW w:w="2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Corelare cu alte acte normative/documente </w:t>
            </w:r>
          </w:p>
        </w:tc>
      </w:tr>
      <w:tr>
        <w:trPr/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PROFIL ORGANIZAŢIONAL</w:t>
            </w:r>
          </w:p>
        </w:tc>
        <w:tc>
          <w:tcPr>
            <w:tcW w:w="3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- cuvânt înainte din partea conducătorului instituţiei</w:t>
              <w:br/>
              <w:t>- misiunea instituţiei şi responsabilităţi</w:t>
              <w:br/>
              <w:t>- contribuţia pe care trebuie să o aducă la obiectivele guvernării şi la obiectivele asumate de România</w:t>
              <w:br/>
              <w:t>- datele de contact (adresă, telefon, e-mail)</w:t>
            </w:r>
          </w:p>
        </w:tc>
        <w:tc>
          <w:tcPr>
            <w:tcW w:w="2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hyperlink r:id="rId3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Hotărârea Guvernului nr. 123/2002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pentru aprobarea Normelor metodologice de aplicare a </w:t>
            </w:r>
            <w:hyperlink r:id="rId4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Legii nr. 544/2001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privind liberul acces la informaţiile de interes public</w:t>
              <w:br/>
              <w:t xml:space="preserve">Anexă - Norme metodologice de aplicare a </w:t>
            </w:r>
            <w:hyperlink r:id="rId5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Legii nr. 544/2001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privind liberul acces la informaţiile de interes public</w:t>
            </w:r>
          </w:p>
        </w:tc>
      </w:tr>
      <w:tr>
        <w:trPr/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POLITICI PUBLICE</w:t>
            </w:r>
          </w:p>
        </w:tc>
        <w:tc>
          <w:tcPr>
            <w:tcW w:w="3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>
        <w:trPr/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Informaţii privind rezultatele implementării Planului strategic instituţional (PSI).</w:t>
              <w:br/>
              <w:t>Acest document are o perspectivă de 3 - 4 ani - termen mediu - şi trebuie să descrie mandatul, viziunea, obiectivul general, obiectivele specifice împreună cu programele bugetare pentru fiecare minister</w:t>
            </w:r>
          </w:p>
        </w:tc>
        <w:tc>
          <w:tcPr>
            <w:tcW w:w="3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- priorităţile pentru perioada de raportare</w:t>
              <w:br/>
              <w:t>- pentru fiecare prioritate: obiective, rezultate, chestiuni bugetare, alocare bugetară</w:t>
              <w:br/>
              <w:t>- indici de performanţă, cu prezentarea gradului de realizare a acestora</w:t>
              <w:br/>
              <w:t>- prezentare a programelor desfăşurate şi a modului de raportare a acestora la obiectivele autorităţii sau instituţiei publice</w:t>
              <w:br/>
              <w:t>- ce rezultate s-au obţinut cu resursele avute la dispoziţie (monitorizarea implementării)</w:t>
              <w:br/>
              <w:t>- raportarea cheltuielilor, defalcate pe programe, respectiv pe obiective</w:t>
              <w:br/>
              <w:t>- nerealizări, cu menţionarea cauzelor acestora (acolo unde este cazul)</w:t>
              <w:br/>
              <w:t>- propuneri pentru remedierea deficienţelor</w:t>
              <w:br/>
              <w:t>- informaţii relevante privind performanţa ministerului din rapoartele de audit intern sau extern (ale Curţii de Conturi)</w:t>
              <w:br/>
              <w:t>- politici publice aflate în implementare</w:t>
              <w:br/>
              <w:t>- rezultatele aşteptate ale documentelor de politici publice</w:t>
              <w:br/>
              <w:t>- stadiul îndeplinirii obiectivelor generale şi obiectivelor specifice</w:t>
            </w:r>
          </w:p>
        </w:tc>
        <w:tc>
          <w:tcPr>
            <w:tcW w:w="2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- </w:t>
            </w:r>
            <w:hyperlink r:id="rId6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Hotărârea Guvernului nr. 1.807/2006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pentru aprobarea Componentei de management din cadrul Metodologiei privind sistemul de planificare strategică pe termen mediu al instituţiilor administraţiei publice de la nivel central</w:t>
              <w:br/>
              <w:t xml:space="preserve">- </w:t>
            </w:r>
            <w:hyperlink r:id="rId7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Hotărârea Guvernului nr. 158/2008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pentru aprobarea Componentei de programare bugetară din cadrul Metodologiei privind sistemul de planificare strategică pe termen mediu al instituţiilor administraţiei publice de la nivel central</w:t>
              <w:br/>
              <w:t xml:space="preserve">- </w:t>
            </w:r>
            <w:hyperlink r:id="rId8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Hotărârea Guvernului nr. 123/2002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pentru aprobarea Normelor metodologice de aplicare a </w:t>
            </w:r>
            <w:hyperlink r:id="rId9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Legii nr. 544/2001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privind liberul acces la informaţiile de interes public</w:t>
              <w:br/>
              <w:t xml:space="preserve">Anexă - Norme metodologice de aplicare a </w:t>
            </w:r>
            <w:hyperlink r:id="rId10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Legii nr. 544/2001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privind liberul acces la informaţiile de interes public</w:t>
            </w:r>
          </w:p>
        </w:tc>
      </w:tr>
      <w:tr>
        <w:trPr/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Priorităţi pentru perioada următoare</w:t>
            </w:r>
          </w:p>
        </w:tc>
        <w:tc>
          <w:tcPr>
            <w:tcW w:w="3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Teme, investiţii etc. - corelate cu contribuţia pe care instituţia trebuie să o aducă la obiectivele guvernării şi la obiectivele asumate de România</w:t>
              <w:br/>
              <w:t>Menţionarea perioadei - 1 sau 5 ani sau altă perioadă la alegerea instituţiei</w:t>
            </w:r>
          </w:p>
        </w:tc>
        <w:tc>
          <w:tcPr>
            <w:tcW w:w="2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Priorităţile strategice ale instituţiei</w:t>
              <w:br/>
              <w:t>Planul de guvernare/Planul sectorial de acţiune al instituţiei</w:t>
            </w:r>
          </w:p>
        </w:tc>
      </w:tr>
      <w:tr>
        <w:trPr/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TRANSPARENŢĂ INSTITUŢIONALĂ</w:t>
            </w:r>
          </w:p>
        </w:tc>
        <w:tc>
          <w:tcPr>
            <w:tcW w:w="3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>
        <w:trPr/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Bugetul instituţiei</w:t>
            </w:r>
          </w:p>
        </w:tc>
        <w:tc>
          <w:tcPr>
            <w:tcW w:w="3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Sinteza bugetului pe surse de finanţare, cel puţin referitor la:</w:t>
              <w:br/>
              <w:t>- finanţare de la bugetul de stat</w:t>
              <w:br/>
              <w:t>- finanţare rambursabilă</w:t>
              <w:br/>
              <w:t>- fondurile externe nerambursabile postaderare primite în cadrul unor proiecte/programe/instrumente/facilităţi finanţate conform unor decizii/acorduri/ înţelegeri/memorandumuri ale Uniunii Europene şi/sau ale altor donatori</w:t>
              <w:br/>
              <w:t>- venituri proprii etc.</w:t>
              <w:br/>
              <w:t>- o sinteză a cheltuielilor detaliate pe părţi, capitole, subcapitole, titluri, articole, precum şi alineate, după caz</w:t>
              <w:br/>
              <w:t>Anexat - bugetul complet în format de date deschise, inclusiv programele de investiţii publice, care se prezintă ca anexă la bugetul fiecărui ordonator principal de credite</w:t>
            </w:r>
          </w:p>
        </w:tc>
        <w:tc>
          <w:tcPr>
            <w:tcW w:w="2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https://traditiigorj.ro/informatii-de-interes-public/</w:t>
            </w:r>
          </w:p>
        </w:tc>
      </w:tr>
      <w:tr>
        <w:trPr/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Informaţii legate de procesul de achiziţii publice, achiziţiile sectoriale şi concesiunile de lucrări şi servicii</w:t>
            </w:r>
          </w:p>
        </w:tc>
        <w:tc>
          <w:tcPr>
            <w:tcW w:w="3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- lista de contracte încheiate (obiectul contractului, suma, procedura de achiziţii publice folosită, numele câştigătorului)</w:t>
              <w:br/>
              <w:t>- numărul de procese de achiziţii pe categorii, pentru anul încheiat</w:t>
              <w:br/>
              <w:t>- câte achiziţii s-au realizat prin sistemul electronic din totalul achiziţiilor desfăşurate pe parcursul exerciţiului anului calendaristic de raportare</w:t>
              <w:br/>
              <w:t>- durata medie a unui proces de achiziţie publică pe categorii de achiziţii</w:t>
              <w:br/>
              <w:t>- număr de contestaţii formulate la Consiliul Naţional de Soluţionare a Contestaţiilor</w:t>
              <w:br/>
              <w:t>- câte proceduri au fost anulate sau sunt în procedura de anulare</w:t>
            </w:r>
          </w:p>
        </w:tc>
        <w:tc>
          <w:tcPr>
            <w:tcW w:w="2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https://traditiigorj.ro/informatii-de-interes-public/</w:t>
            </w:r>
          </w:p>
        </w:tc>
      </w:tr>
      <w:tr>
        <w:trPr/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Informaţii despre litigii în care este implicată instituţia (în general, nu doar cele legate de achiziţii publice)</w:t>
            </w:r>
          </w:p>
        </w:tc>
        <w:tc>
          <w:tcPr>
            <w:tcW w:w="3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- număr de litigii aflate pe rolul instanţelor de judecată pe tipuri şi obiectul lor, cu indicarea contextului litigiului</w:t>
              <w:br/>
              <w:t>- câte au fost pierdute</w:t>
              <w:br/>
              <w:t>- câte au fost câştigate</w:t>
            </w:r>
          </w:p>
        </w:tc>
        <w:tc>
          <w:tcPr>
            <w:tcW w:w="2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Nu e cazul</w:t>
            </w:r>
          </w:p>
        </w:tc>
      </w:tr>
      <w:tr>
        <w:trPr/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Organigrama</w:t>
            </w:r>
          </w:p>
        </w:tc>
        <w:tc>
          <w:tcPr>
            <w:tcW w:w="3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Afişarea organigramei cu evidenţierea numelor persoanelor cu funcţii de conducere şi a numărului de posturi ocupate, respectiv a numărului total de posturi disponibile, precum şi a departamentelor cu date de contact</w:t>
            </w:r>
          </w:p>
        </w:tc>
        <w:tc>
          <w:tcPr>
            <w:tcW w:w="2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https://traditiigorj.ro/informatii-de-interes-public/</w:t>
            </w:r>
          </w:p>
        </w:tc>
      </w:tr>
      <w:tr>
        <w:trPr/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Informaţii despre managementul resurselor umane</w:t>
            </w:r>
          </w:p>
        </w:tc>
        <w:tc>
          <w:tcPr>
            <w:tcW w:w="3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- informaţii despre fluctuaţia de personal</w:t>
              <w:br/>
              <w:t>- numărul de concursuri organizate</w:t>
              <w:br/>
              <w:t>- fluctuaţia la nivelul funcţiilor de conducere</w:t>
              <w:br/>
              <w:t>- numărul de funcţii de conducere exercitate temporar</w:t>
              <w:br/>
              <w:t>- venitul mediu, inclusiv diferitele sporuri</w:t>
            </w:r>
          </w:p>
        </w:tc>
        <w:tc>
          <w:tcPr>
            <w:tcW w:w="2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Nu au fost fluctuatii de personal. Nu au fost organizate concursuri. Nu au fost fluctuatii la nivelul functiilor de conducere.</w:t>
            </w:r>
          </w:p>
        </w:tc>
      </w:tr>
      <w:tr>
        <w:trPr/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RELAŢIA CU COMUNITATEA</w:t>
            </w:r>
          </w:p>
        </w:tc>
        <w:tc>
          <w:tcPr>
            <w:tcW w:w="3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>
        <w:trPr/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Raport de activitate </w:t>
            </w:r>
            <w:hyperlink r:id="rId11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Legea nr. 544/2001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, cu modificările şi completările ulterioare</w:t>
            </w:r>
          </w:p>
        </w:tc>
        <w:tc>
          <w:tcPr>
            <w:tcW w:w="3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Raportul de activitate va fi întocmit şi publicat într-un document distinct, în conformitate cu prevederile anexei nr. 10 la normele metodologice.</w:t>
            </w:r>
          </w:p>
        </w:tc>
        <w:tc>
          <w:tcPr>
            <w:tcW w:w="2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https://traditiigorj.ro/informatii-de-interes-public/</w:t>
            </w:r>
          </w:p>
        </w:tc>
      </w:tr>
      <w:tr>
        <w:trPr/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Raport de activitate </w:t>
            </w:r>
            <w:hyperlink r:id="rId12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Legea nr. 52/2003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, republicată)</w:t>
            </w:r>
          </w:p>
        </w:tc>
        <w:tc>
          <w:tcPr>
            <w:tcW w:w="3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Raportul de activitate va fi întocmit şi publicat într-un document distinct, în raportul anual de activitate al instituţiei făcându-se trimitere la acesta.</w:t>
            </w:r>
          </w:p>
        </w:tc>
        <w:tc>
          <w:tcPr>
            <w:tcW w:w="2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Conform art. 13 din </w:t>
            </w:r>
            <w:hyperlink r:id="rId13">
              <w:r>
                <w:rPr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Legea nr. 52/2003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privind transparenţa decizională în administraţia publică, republicată</w:t>
            </w:r>
          </w:p>
        </w:tc>
      </w:tr>
      <w:tr>
        <w:trPr/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Informaţii despre atragerea de resurse din comunitate</w:t>
            </w:r>
          </w:p>
        </w:tc>
        <w:tc>
          <w:tcPr>
            <w:tcW w:w="3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- lucrul cu voluntari</w:t>
              <w:br/>
              <w:t>- parteneriate cu alte instituţii publice, mediul de afaceri, participări în asociaţii internaţionale, înfrăţiri</w:t>
            </w:r>
          </w:p>
        </w:tc>
        <w:tc>
          <w:tcPr>
            <w:tcW w:w="2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https://traditiigorj.ro/informatii-de-interes-public/</w:t>
            </w:r>
          </w:p>
        </w:tc>
      </w:tr>
      <w:tr>
        <w:trPr/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LEGISLAŢIE</w:t>
            </w:r>
          </w:p>
        </w:tc>
        <w:tc>
          <w:tcPr>
            <w:tcW w:w="3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>
        <w:trPr/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Informaţii despre proiecte de acte normative iniţiate de către instituţie</w:t>
            </w:r>
          </w:p>
        </w:tc>
        <w:tc>
          <w:tcPr>
            <w:tcW w:w="3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- nr. de iniţiative</w:t>
              <w:br/>
              <w:t>- denumirea fiecărui proiect, tipul de act normativ şi subiectul abordat, codul actului normativ</w:t>
              <w:br/>
              <w:t>- puncte de vedere la proiectele altor instituţii</w:t>
              <w:br/>
              <w:t>- priorităţi legislative pentru perioada următoare</w:t>
            </w:r>
          </w:p>
        </w:tc>
        <w:tc>
          <w:tcPr>
            <w:tcW w:w="2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https://traditiigorj.ro/informatii-de-interes-public/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_r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Helvetica_r" w:hAnsi="Helvetica_r" w:eastAsia="Calibri" w:cs="" w:cstheme="minorBidi" w:eastAsia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1c0e"/>
    <w:pPr>
      <w:widowControl/>
      <w:bidi w:val="0"/>
      <w:spacing w:lineRule="auto" w:line="276" w:before="0" w:after="200"/>
      <w:jc w:val="left"/>
    </w:pPr>
    <w:rPr>
      <w:rFonts w:ascii="Helvetica_r" w:hAnsi="Helvetica_r" w:eastAsia="Calibri" w:cs="" w:cstheme="minorBidi" w:eastAsiaTheme="minorHAnsi"/>
      <w:color w:val="auto"/>
      <w:kern w:val="0"/>
      <w:sz w:val="22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semiHidden/>
    <w:unhideWhenUsed/>
    <w:rsid w:val="009650a0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650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unsaved://LexNavigator.htm/DB0;LexAct 263055" TargetMode="External"/><Relationship Id="rId3" Type="http://schemas.openxmlformats.org/officeDocument/2006/relationships/hyperlink" Target="unsaved://LexNavigator.htm/DB0;LexAct 53616" TargetMode="External"/><Relationship Id="rId4" Type="http://schemas.openxmlformats.org/officeDocument/2006/relationships/hyperlink" Target="unsaved://LexNavigator.htm/DB0;LexAct 50746" TargetMode="External"/><Relationship Id="rId5" Type="http://schemas.openxmlformats.org/officeDocument/2006/relationships/hyperlink" Target="unsaved://LexNavigator.htm/DB0;LexAct 50746" TargetMode="External"/><Relationship Id="rId6" Type="http://schemas.openxmlformats.org/officeDocument/2006/relationships/hyperlink" Target="unsaved://LexNavigator.htm/DB0;LexAct 92211" TargetMode="External"/><Relationship Id="rId7" Type="http://schemas.openxmlformats.org/officeDocument/2006/relationships/hyperlink" Target="unsaved://LexNavigator.htm/DB0;LexAct 104826" TargetMode="External"/><Relationship Id="rId8" Type="http://schemas.openxmlformats.org/officeDocument/2006/relationships/hyperlink" Target="unsaved://LexNavigator.htm/DB0;LexAct 53616" TargetMode="External"/><Relationship Id="rId9" Type="http://schemas.openxmlformats.org/officeDocument/2006/relationships/hyperlink" Target="unsaved://LexNavigator.htm/DB0;LexAct 50746" TargetMode="External"/><Relationship Id="rId10" Type="http://schemas.openxmlformats.org/officeDocument/2006/relationships/hyperlink" Target="unsaved://LexNavigator.htm/DB0;LexAct 50746" TargetMode="External"/><Relationship Id="rId11" Type="http://schemas.openxmlformats.org/officeDocument/2006/relationships/hyperlink" Target="unsaved://LexNavigator.htm/DB0;LexAct 50746" TargetMode="External"/><Relationship Id="rId12" Type="http://schemas.openxmlformats.org/officeDocument/2006/relationships/hyperlink" Target="unsaved://LexNavigator.htm/DB0;LexAct 199600" TargetMode="External"/><Relationship Id="rId13" Type="http://schemas.openxmlformats.org/officeDocument/2006/relationships/hyperlink" Target="unsaved://LexNavigator.htm/DB0;LexAct 199600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LibreOffice/6.4.4.2$Windows_X86_64 LibreOffice_project/3d775be2011f3886db32dfd395a6a6d1ca2630ff</Application>
  <Pages>4</Pages>
  <Words>910</Words>
  <Characters>5912</Characters>
  <CharactersWithSpaces>6800</CharactersWithSpaces>
  <Paragraphs>55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2025-08-01T05:59:00Z</dcterms:created>
  <dc:creator>E</dc:creator>
  <dc:description/>
  <dc:language>en-US</dc:language>
  <cp:lastModifiedBy/>
  <dcterms:modified xsi:type="dcterms:W3CDTF">2025-08-04T12:18:12Z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